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color w:val="800000"/>
          <w:sz w:val="28"/>
          <w:szCs w:val="28"/>
          <w:u w:val="single"/>
          <w:vertAlign w:val="baseline"/>
        </w:rPr>
      </w:pP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b w:val="1"/>
          <w:sz w:val="28"/>
          <w:szCs w:val="28"/>
          <w:vertAlign w:val="baseline"/>
          <w:rtl w:val="0"/>
        </w:rPr>
        <w:t xml:space="preserve">Gallery walk tool</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A Gallery Walk is a way for adolescents to look at each other’s artwork or projects. It provides a calm, supportive atmosphere for sharing feedback, and ensures that the adolescents’ work is not damaged or lost. </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Option 1: In a less crowded space:</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the adolescents to spread a ground cover over the middle of the space and then to stand around it in a circle. They should place their artwork or projects in front of them.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a signal for the adolescents to walk around the groundsheet and to stop in front of someone else’s piece of art or project.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adolescents should look carefully at the artwork and make notes for friendly feedback.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the adolescents another signal to rotate to the next artwork or project.</w:t>
        <w:br w:type="textWrapping"/>
      </w:r>
    </w:p>
    <w:p w:rsidR="00000000" w:rsidDel="00000000" w:rsidP="00000000" w:rsidRDefault="00000000" w:rsidRPr="00000000" w14:paraId="0000000C">
      <w:pPr>
        <w:rPr>
          <w:b w:val="0"/>
          <w:color w:val="ff0000"/>
          <w:vertAlign w:val="baseline"/>
        </w:rPr>
      </w:pPr>
      <w:r w:rsidDel="00000000" w:rsidR="00000000" w:rsidRPr="00000000">
        <w:rPr>
          <w:b w:val="1"/>
          <w:color w:val="ff0000"/>
          <w:vertAlign w:val="baseline"/>
          <w:rtl w:val="0"/>
        </w:rPr>
        <w:t xml:space="preserve"> [Diagram of floor]</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Option 2: In a more crowded space:</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the adolescents to stand in four or five rows facing the front of the space. If there is enough room, they should stand at least one arm length apart from the participants in front of them and on either side.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adolescents should spread ground covers out between the rows, and place their artwork in front of them.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a signal for the adolescents to walk through the rows and to stop in front of someone else’s piece of art or project.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adolescents should look carefully at the artwork and make notes for friendly feedback.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the adolescents another signal to rotate to the next artwork or project.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b w:val="1"/>
          <w:color w:val="ff0000"/>
          <w:vertAlign w:val="baseline"/>
          <w:rtl w:val="0"/>
        </w:rPr>
        <w:t xml:space="preserve">[Diagram of floor]</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sectPr>
      <w:headerReference r:id="rId6" w:type="default"/>
      <w:footerReference r:id="rId7"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266700" cy="266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1"/>
        <w:i w:val="0"/>
        <w:smallCaps w:val="0"/>
        <w:strike w:val="0"/>
        <w:color w:val="7f7f7f"/>
        <w:sz w:val="24"/>
        <w:szCs w:val="24"/>
        <w:u w:val="none"/>
        <w:shd w:fill="auto" w:val="clear"/>
        <w:vertAlign w:val="baseline"/>
        <w:rtl w:val="0"/>
      </w:rPr>
      <w:t xml:space="preserve">The Adolescent Kit for Expression and Innovation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f7f7f"/>
        <w:sz w:val="24"/>
        <w:szCs w:val="24"/>
        <w:u w:val="none"/>
        <w:shd w:fill="auto" w:val="clear"/>
        <w:vertAlign w:val="baseline"/>
      </w:rPr>
    </w:pPr>
    <w:r w:rsidDel="00000000" w:rsidR="00000000" w:rsidRPr="00000000">
      <w:rPr>
        <w:rFonts w:ascii="Calibri" w:cs="Calibri" w:eastAsia="Calibri" w:hAnsi="Calibri"/>
        <w:b w:val="1"/>
        <w:i w:val="1"/>
        <w:smallCaps w:val="0"/>
        <w:strike w:val="0"/>
        <w:color w:val="7f7f7f"/>
        <w:sz w:val="24"/>
        <w:szCs w:val="24"/>
        <w:u w:val="none"/>
        <w:shd w:fill="auto" w:val="clear"/>
        <w:vertAlign w:val="baseline"/>
        <w:rtl w:val="0"/>
      </w:rPr>
      <w:t xml:space="preserve">VII. Facilitator tools. Gallery walk tool</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PowerPlusWaterMarkObject1" style="position:absolute;width:412.0pt;height:247.0pt;rotation:315;z-index:-503316481;mso-position-horizontal-relative:left-margin-area;mso-position-horizontal:center;mso-position-vertical-relative:top-margin-area;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